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3" w:lineRule="exact"/>
        <w:rPr>
          <w:sz w:val="24"/>
          <w:szCs w:val="24"/>
          <w:color w:val="auto"/>
        </w:rPr>
      </w:pPr>
    </w:p>
    <w:p>
      <w:pPr>
        <w:jc w:val="center"/>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2764155</wp:posOffset>
            </wp:positionH>
            <wp:positionV relativeFrom="paragraph">
              <wp:posOffset>77470</wp:posOffset>
            </wp:positionV>
            <wp:extent cx="151257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2570" cy="209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001-39363</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IMMATICS N.V.</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Paul-Ehrlich-Straße 15</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72076 Tübingen, Federal Republic of Germany</w:t>
      </w: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11" w:lineRule="exact"/>
        <w:rPr>
          <w:sz w:val="24"/>
          <w:szCs w:val="24"/>
          <w:color w:val="auto"/>
        </w:rPr>
      </w:pPr>
    </w:p>
    <w:p>
      <w:pPr>
        <w:ind w:left="2760"/>
        <w:spacing w:after="0" w:line="207" w:lineRule="exact"/>
        <w:tabs>
          <w:tab w:leader="none" w:pos="4500" w:val="left"/>
          <w:tab w:leader="none" w:pos="6620" w:val="left"/>
          <w:tab w:leader="none" w:pos="83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2646045</wp:posOffset>
            </wp:positionH>
            <wp:positionV relativeFrom="paragraph">
              <wp:posOffset>43180</wp:posOffset>
            </wp:positionV>
            <wp:extent cx="5657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43180</wp:posOffset>
            </wp:positionV>
            <wp:extent cx="557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214630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266065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652145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00" w:top="894" w:right="4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On June 18, 2026, Immatics N.V. (the “Company”) held its Annual General Meeting of Shareholders (the “AGM”). A copy of the minutes of the proceedings of the AGM is furnished as Exhibit 99.1 hereto. At the AGM, the shareholders approved each of the voting items on the agenda, including:</w:t>
      </w:r>
    </w:p>
    <w:p>
      <w:pPr>
        <w:spacing w:after="0" w:line="140"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Adoption of the statutory annual accounts for the financial year ended December 31, 2025</w:t>
      </w:r>
    </w:p>
    <w:p>
      <w:pPr>
        <w:spacing w:after="0" w:line="224" w:lineRule="exact"/>
        <w:rPr>
          <w:rFonts w:ascii="Arial" w:cs="Arial" w:eastAsia="Arial" w:hAnsi="Arial"/>
          <w:sz w:val="18"/>
          <w:szCs w:val="18"/>
          <w:b w:val="1"/>
          <w:bCs w:val="1"/>
          <w:color w:val="auto"/>
        </w:rPr>
      </w:pPr>
    </w:p>
    <w:p>
      <w:pPr>
        <w:ind w:left="900" w:right="600" w:hanging="325"/>
        <w:spacing w:after="0" w:line="281" w:lineRule="auto"/>
        <w:tabs>
          <w:tab w:leader="none" w:pos="9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Discharge from liability for the members of the Company’s board of directors with respect to the performance of their duties during the financial year ended December 31, 2025</w:t>
      </w:r>
    </w:p>
    <w:p>
      <w:pPr>
        <w:spacing w:after="0" w:line="162" w:lineRule="exact"/>
        <w:rPr>
          <w:rFonts w:ascii="Arial" w:cs="Arial" w:eastAsia="Arial" w:hAnsi="Arial"/>
          <w:sz w:val="18"/>
          <w:szCs w:val="18"/>
          <w:b w:val="1"/>
          <w:bCs w:val="1"/>
          <w:color w:val="auto"/>
        </w:rPr>
      </w:pPr>
    </w:p>
    <w:p>
      <w:pPr>
        <w:ind w:left="900" w:hanging="325"/>
        <w:spacing w:after="0"/>
        <w:tabs>
          <w:tab w:leader="none" w:pos="9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Reappointment of Dr. H. Singh Jasuja as executive director III</w:t>
      </w:r>
    </w:p>
    <w:p>
      <w:pPr>
        <w:spacing w:after="0" w:line="224" w:lineRule="exact"/>
        <w:rPr>
          <w:rFonts w:ascii="Arial" w:cs="Arial" w:eastAsia="Arial" w:hAnsi="Arial"/>
          <w:sz w:val="18"/>
          <w:szCs w:val="18"/>
          <w:b w:val="1"/>
          <w:bCs w:val="1"/>
          <w:color w:val="auto"/>
        </w:rPr>
      </w:pPr>
    </w:p>
    <w:p>
      <w:pPr>
        <w:ind w:left="900" w:hanging="325"/>
        <w:spacing w:after="0"/>
        <w:tabs>
          <w:tab w:leader="none" w:pos="9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Reappointment of Dr. M.P. Hothum as non-executive director III</w:t>
      </w:r>
    </w:p>
    <w:p>
      <w:pPr>
        <w:spacing w:after="0" w:line="224" w:lineRule="exact"/>
        <w:rPr>
          <w:rFonts w:ascii="Arial" w:cs="Arial" w:eastAsia="Arial" w:hAnsi="Arial"/>
          <w:sz w:val="18"/>
          <w:szCs w:val="18"/>
          <w:b w:val="1"/>
          <w:bCs w:val="1"/>
          <w:color w:val="auto"/>
        </w:rPr>
      </w:pPr>
    </w:p>
    <w:p>
      <w:pPr>
        <w:ind w:left="900" w:hanging="325"/>
        <w:spacing w:after="0"/>
        <w:tabs>
          <w:tab w:leader="none" w:pos="9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Reappointment of Mr. A.L. Stone as non-executive director III</w:t>
      </w:r>
    </w:p>
    <w:p>
      <w:pPr>
        <w:spacing w:after="0" w:line="224" w:lineRule="exact"/>
        <w:rPr>
          <w:rFonts w:ascii="Arial" w:cs="Arial" w:eastAsia="Arial" w:hAnsi="Arial"/>
          <w:sz w:val="18"/>
          <w:szCs w:val="18"/>
          <w:b w:val="1"/>
          <w:bCs w:val="1"/>
          <w:color w:val="auto"/>
        </w:rPr>
      </w:pPr>
    </w:p>
    <w:p>
      <w:pPr>
        <w:ind w:left="900" w:hanging="325"/>
        <w:spacing w:after="0"/>
        <w:tabs>
          <w:tab w:leader="none" w:pos="9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Extension of the authorisation of the Board to acquire ordinary shares or depositary receipts thereof</w:t>
      </w:r>
    </w:p>
    <w:p>
      <w:pPr>
        <w:spacing w:after="0" w:line="224" w:lineRule="exact"/>
        <w:rPr>
          <w:rFonts w:ascii="Arial" w:cs="Arial" w:eastAsia="Arial" w:hAnsi="Arial"/>
          <w:sz w:val="18"/>
          <w:szCs w:val="18"/>
          <w:b w:val="1"/>
          <w:bCs w:val="1"/>
          <w:color w:val="auto"/>
        </w:rPr>
      </w:pPr>
    </w:p>
    <w:p>
      <w:pPr>
        <w:ind w:left="900" w:hanging="325"/>
        <w:spacing w:after="0"/>
        <w:tabs>
          <w:tab w:leader="none" w:pos="9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Approval of the Company’s 2026 stock option and incentive plan</w:t>
      </w:r>
    </w:p>
    <w:p>
      <w:pPr>
        <w:spacing w:after="0" w:line="224" w:lineRule="exact"/>
        <w:rPr>
          <w:rFonts w:ascii="Arial" w:cs="Arial" w:eastAsia="Arial" w:hAnsi="Arial"/>
          <w:sz w:val="18"/>
          <w:szCs w:val="18"/>
          <w:b w:val="1"/>
          <w:bCs w:val="1"/>
          <w:color w:val="auto"/>
        </w:rPr>
      </w:pPr>
    </w:p>
    <w:p>
      <w:pPr>
        <w:ind w:left="900" w:hanging="325"/>
        <w:spacing w:after="0"/>
        <w:tabs>
          <w:tab w:leader="none" w:pos="9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Instruction to PricewaterhouseCoopers Accountants N.V. as auditor for the financial year ending December 31, 2026</w:t>
      </w:r>
    </w:p>
    <w:p>
      <w:pPr>
        <w:spacing w:after="0" w:line="220" w:lineRule="exact"/>
        <w:rPr>
          <w:rFonts w:ascii="Arial" w:cs="Arial" w:eastAsia="Arial" w:hAnsi="Arial"/>
          <w:sz w:val="18"/>
          <w:szCs w:val="18"/>
          <w:b w:val="1"/>
          <w:bCs w:val="1"/>
          <w:color w:val="auto"/>
        </w:rPr>
      </w:pPr>
    </w:p>
    <w:p>
      <w:pPr>
        <w:ind w:left="4120"/>
        <w:spacing w:after="0"/>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S-8 (Registration Nos. 333-249408, 333-265820, 333-280935 and 333-288466) and the registration statements on Form F-3 (Registration Nos. 333-240260, 333-274218 and 333-286151) of Immatics N.V. and to be a part thereof from the date on which this report is filed, to the extent not superseded by documents or reports subsequently filed or furnished.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9"/>
        </w:trPr>
        <w:tc>
          <w:tcPr>
            <w:tcW w:w="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99.</w:t>
            </w:r>
            <w:r>
              <w:rPr>
                <w:rFonts w:ascii="Times New Roman" w:cs="Times New Roman" w:eastAsia="Times New Roman" w:hAnsi="Times New Roman"/>
                <w:sz w:val="18"/>
                <w:szCs w:val="18"/>
                <w:u w:val="single" w:color="auto"/>
                <w:color w:val="0000FF"/>
                <w:w w:val="88"/>
              </w:rPr>
              <w:t>1</w:t>
            </w: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AGM Minutes</w:t>
            </w: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40" w:type="dxa"/>
            <w:vAlign w:val="bottom"/>
            <w:gridSpan w:val="2"/>
          </w:tcPr>
          <w:p>
            <w:pPr>
              <w:ind w:left="5780"/>
              <w:spacing w:after="0"/>
              <w:rPr>
                <w:sz w:val="20"/>
                <w:szCs w:val="20"/>
                <w:color w:val="auto"/>
              </w:rPr>
            </w:pPr>
            <w:r>
              <w:rPr>
                <w:rFonts w:ascii="Times New Roman" w:cs="Times New Roman" w:eastAsia="Times New Roman" w:hAnsi="Times New Roman"/>
                <w:sz w:val="18"/>
                <w:szCs w:val="18"/>
                <w:b w:val="1"/>
                <w:bCs w:val="1"/>
                <w:color w:val="auto"/>
              </w:rPr>
              <w:t>IMMATICS N.V.</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Date: June 18, 2026</w:t>
            </w:r>
          </w:p>
        </w:tc>
        <w:tc>
          <w:tcPr>
            <w:tcW w:w="4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57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Harpreet Singh</w:t>
            </w:r>
          </w:p>
        </w:tc>
        <w:tc>
          <w:tcPr>
            <w:tcW w:w="0" w:type="dxa"/>
            <w:vAlign w:val="bottom"/>
          </w:tcPr>
          <w:p>
            <w:pPr>
              <w:spacing w:after="0"/>
              <w:rPr>
                <w:sz w:val="1"/>
                <w:szCs w:val="1"/>
                <w:color w:val="auto"/>
              </w:rPr>
            </w:pPr>
          </w:p>
        </w:tc>
      </w:tr>
      <w:tr>
        <w:trPr>
          <w:trHeight w:val="27"/>
        </w:trPr>
        <w:tc>
          <w:tcPr>
            <w:tcW w:w="6520" w:type="dxa"/>
            <w:vAlign w:val="bottom"/>
            <w:vMerge w:val="restart"/>
          </w:tcPr>
          <w:p>
            <w:pPr>
              <w:ind w:left="5780"/>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Harpreet Singh</w:t>
            </w:r>
          </w:p>
        </w:tc>
        <w:tc>
          <w:tcPr>
            <w:tcW w:w="0" w:type="dxa"/>
            <w:vAlign w:val="bottom"/>
          </w:tcPr>
          <w:p>
            <w:pPr>
              <w:spacing w:after="0"/>
              <w:rPr>
                <w:sz w:val="1"/>
                <w:szCs w:val="1"/>
                <w:color w:val="auto"/>
              </w:rPr>
            </w:pPr>
          </w:p>
        </w:tc>
      </w:tr>
      <w:tr>
        <w:trPr>
          <w:trHeight w:val="270"/>
        </w:trPr>
        <w:tc>
          <w:tcPr>
            <w:tcW w:w="6520" w:type="dxa"/>
            <w:vAlign w:val="bottom"/>
          </w:tcPr>
          <w:p>
            <w:pPr>
              <w:ind w:left="578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621"/>
        </w:trPr>
        <w:tc>
          <w:tcPr>
            <w:tcW w:w="65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MINUTES OF THE ANNUAL GENERAL MEETING OF SHAREHOLDERS OF IMMATICS N.V.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18, 2026</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Edward Sturchio, General Counsel of Immatics N.V.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opened the annual general meeting of the Company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and designated Marloes van der Laan, candidate civil law notary of NautaDutilh N.V., the Company's Dutch legal counsel, as the secretary of the Meeting.</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secretary of the Meeting noted that the Meeting had been convened with due observance of all applicable provisions of Dutch law and the Company's articles of association and that, at the Meeting, approximately 64.07% of the Company's issued share capital was represented.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chair of the Meeting noted that there were no shareholders or others with statutory meeting rights in respect of the Company present at the Meeting who had questions or comments with respect to the agenda items for the Meeting and, therefore, proceeded to the vote on the voting items on the agenda.</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chair of the Meeting then noted that, based on the voting proxies given to the proxy holder, each voting item on the agenda was passed by the requisite majority of votes cast.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chair of the Meeting then closed the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Sturchio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Sturchio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Marloes Van der Laan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M.L. van der Laan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2026-06-18T15:24:31Z</dcterms:created>
  <dcterms:modified xsi:type="dcterms:W3CDTF">2026-06-18T15:24:31Z</dcterms:modified>
</cp:coreProperties>
</file>